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441AF0AC" w:rsidR="00CA0213" w:rsidRPr="007A390F" w:rsidRDefault="008C1AA1">
            <w:pPr>
              <w:pStyle w:val="SmartView1"/>
              <w:rPr>
                <w:color w:val="000000" w:themeColor="text1"/>
                <w:sz w:val="44"/>
                <w:szCs w:val="36"/>
              </w:rPr>
            </w:pPr>
            <w:r w:rsidRPr="007A390F">
              <w:rPr>
                <w:rFonts w:cstheme="minorHAnsi"/>
                <w:color w:val="000000" w:themeColor="text1"/>
                <w:sz w:val="44"/>
                <w:szCs w:val="44"/>
              </w:rPr>
              <w:t>TOPRAKLAMA TESİSATI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Pr="007A390F" w:rsidRDefault="00CA0213">
            <w:pPr>
              <w:pStyle w:val="SmartView2"/>
              <w:rPr>
                <w:color w:val="000000" w:themeColor="text1"/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Pr="007A390F" w:rsidRDefault="00CA0213">
            <w:pPr>
              <w:pStyle w:val="SmartView"/>
              <w:rPr>
                <w:color w:val="000000" w:themeColor="text1"/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Pr="007A390F" w:rsidRDefault="00CA0213">
            <w:pPr>
              <w:pStyle w:val="SmartView"/>
              <w:rPr>
                <w:i/>
                <w:color w:val="000000" w:themeColor="text1"/>
                <w:sz w:val="22"/>
              </w:rPr>
            </w:pPr>
          </w:p>
          <w:p w14:paraId="4B87F1CE" w14:textId="77777777" w:rsidR="00CA0213" w:rsidRPr="007A390F" w:rsidRDefault="00F04472">
            <w:pPr>
              <w:pStyle w:val="SmartView3"/>
              <w:rPr>
                <w:color w:val="000000" w:themeColor="text1"/>
                <w:sz w:val="40"/>
                <w:szCs w:val="40"/>
              </w:rPr>
            </w:pPr>
            <w:r w:rsidRPr="007A390F">
              <w:rPr>
                <w:rFonts w:eastAsia="Times New Roman" w:cs="Calibri"/>
                <w:iCs/>
                <w:color w:val="000000" w:themeColor="text1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Pr="007A390F" w:rsidRDefault="00CA0213">
            <w:pPr>
              <w:pStyle w:val="SmartView"/>
              <w:rPr>
                <w:color w:val="000000" w:themeColor="text1"/>
                <w:sz w:val="24"/>
              </w:rPr>
            </w:pPr>
          </w:p>
          <w:p w14:paraId="1485B4D7" w14:textId="77777777" w:rsidR="00CA0213" w:rsidRPr="007A390F" w:rsidRDefault="00F04472">
            <w:pPr>
              <w:pStyle w:val="SmartView"/>
              <w:rPr>
                <w:color w:val="000000" w:themeColor="text1"/>
                <w:sz w:val="24"/>
              </w:rPr>
            </w:pP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Hoca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852E801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F9B28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E739B0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4092E8" w14:textId="0F50D4C8" w:rsidR="003131E4" w:rsidRDefault="003131E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CA0213" w14:paraId="0739F3A5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37230886" w:rsidR="00CA0213" w:rsidRPr="007F7551" w:rsidRDefault="00900831" w:rsidP="00060D19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D76CA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3779F8B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D76CA3">
        <w:trPr>
          <w:trHeight w:val="284"/>
        </w:trPr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560ACE20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90083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76CA3" w14:paraId="3482323E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A1D48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42924019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3"/>
      </w:tblGrid>
      <w:tr w:rsidR="00E11EF1" w14:paraId="78AA0D1B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B7CFC1" w14:textId="7FB96811" w:rsidR="00E11EF1" w:rsidRPr="007F7551" w:rsidRDefault="00E11EF1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9686380"/>
            <w:r w:rsidRPr="007F7551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7F7551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7F7551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E11EF1" w14:paraId="721E6D1D" w14:textId="77777777" w:rsidTr="00D76CA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5B786" w14:textId="77777777" w:rsidR="00E11EF1" w:rsidRDefault="00E11EF1" w:rsidP="0072620A">
            <w:pPr>
              <w:pStyle w:val="AralkYok"/>
              <w:rPr>
                <w:b/>
                <w:bCs/>
              </w:rPr>
            </w:pPr>
          </w:p>
        </w:tc>
      </w:tr>
      <w:tr w:rsidR="004935DF" w14:paraId="2628FCAD" w14:textId="77777777" w:rsidTr="00D76CA3">
        <w:trPr>
          <w:trHeight w:val="284"/>
        </w:trPr>
        <w:tc>
          <w:tcPr>
            <w:tcW w:w="3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44CDEC9" w14:textId="081D9794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METO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4605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0B7233" w14:textId="148080D3" w:rsidR="004935DF" w:rsidRDefault="004935DF" w:rsidP="004935DF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ÇEVRİM EMPEDANSI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UÇLU TOPRAKLAMA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KLAMP METODU (ÇOKLU TOPR.)         </w:t>
            </w:r>
          </w:p>
        </w:tc>
      </w:tr>
      <w:tr w:rsidR="004935DF" w14:paraId="75C61C62" w14:textId="77777777" w:rsidTr="00D76CA3">
        <w:trPr>
          <w:trHeight w:val="284"/>
        </w:trPr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D722CC7" w14:textId="3F7365B5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DF1FC88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1771A455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7DBA09D2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30/11/2000 TARİHLİ VE 24246 SAYILI RESMÎ </w:t>
            </w:r>
            <w:proofErr w:type="gramStart"/>
            <w:r w:rsidRPr="00E11EF1">
              <w:rPr>
                <w:bCs/>
                <w:sz w:val="18"/>
                <w:szCs w:val="18"/>
              </w:rPr>
              <w:t>GAZETE‘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DE YAYIMLANAN ELEKTRİK KUVVETLİ AKIM TESİSLERİ YÖNETMELİĞİ </w:t>
            </w:r>
          </w:p>
          <w:p w14:paraId="6517BF4A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5B12596A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EN IEC 60079-0 PATLAYICI </w:t>
            </w:r>
            <w:proofErr w:type="gramStart"/>
            <w:r w:rsidRPr="00E11EF1">
              <w:rPr>
                <w:bCs/>
                <w:sz w:val="18"/>
                <w:szCs w:val="18"/>
              </w:rPr>
              <w:t>ORTAMLAR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0: DONANIM - GENEL KURALLAR</w:t>
            </w:r>
          </w:p>
          <w:p w14:paraId="69FD280C" w14:textId="480A0F3B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EN IEC 61439 ALÇAK GERİLİM ANAHTARLAMA DÜZENİ VE KONTROL DÜZENİ PANOLARI STANDARTLARI</w:t>
            </w:r>
          </w:p>
          <w:p w14:paraId="2FF64DD2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60364-4-41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4 - 41: GÜVENLİK İÇİN KORUMA - ELEKTRİK ÇARPMASINA KARŞI KORUMA</w:t>
            </w:r>
          </w:p>
          <w:p w14:paraId="171435A0" w14:textId="77777777" w:rsidR="004935DF" w:rsidRPr="00E11EF1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60364-5-534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5 - 53: ELEKTRİKSEL TEÇHİZATIN SEÇİLMESİ VE MONTAJI - AYIRMA, ANAHTARLAMA VE KONTROL - KISIM 534:AŞIRI GERİLİMLERE KARŞI KORUMA DÜZENLERİ</w:t>
            </w:r>
          </w:p>
          <w:p w14:paraId="702C7D0C" w14:textId="7D5A07C6" w:rsidR="004935DF" w:rsidRDefault="004935DF" w:rsidP="004935D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TS HD 60364-6 ALÇAK GERİLİM ELEKTRİK </w:t>
            </w:r>
            <w:proofErr w:type="gramStart"/>
            <w:r w:rsidRPr="00E11EF1">
              <w:rPr>
                <w:bCs/>
                <w:sz w:val="18"/>
                <w:szCs w:val="18"/>
              </w:rPr>
              <w:t>TESİSLERİ -</w:t>
            </w:r>
            <w:proofErr w:type="gramEnd"/>
            <w:r w:rsidRPr="00E11EF1">
              <w:rPr>
                <w:bCs/>
                <w:sz w:val="18"/>
                <w:szCs w:val="18"/>
              </w:rPr>
              <w:t xml:space="preserve"> BÖLÜM 6: DOĞRULAMA</w:t>
            </w:r>
          </w:p>
        </w:tc>
      </w:tr>
      <w:bookmarkEnd w:id="1"/>
      <w:tr w:rsidR="00D76CA3" w14:paraId="339552BC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EFC63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73D0BFD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6524F1" w14:paraId="47BE7BAC" w14:textId="77777777" w:rsidTr="00B3589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2B6AEF9F" w:rsidR="006524F1" w:rsidRPr="00AB5563" w:rsidRDefault="00E11EF1" w:rsidP="004B3D7C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E420D7" w14:paraId="30D152AB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02BD1635" w:rsidR="00E420D7" w:rsidRDefault="00E420D7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.1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220</w:t>
            </w:r>
          </w:p>
        </w:tc>
      </w:tr>
      <w:tr w:rsidR="006524F1" w14:paraId="50AC9DB8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 PROJE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6F699624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F2E3D">
              <w:rPr>
                <w:bCs/>
                <w:sz w:val="18"/>
                <w:szCs w:val="18"/>
              </w:rPr>
              <w:t xml:space="preserve">         </w:t>
            </w:r>
            <w:r w:rsidR="004F2E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2E3D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F2E3D">
              <w:rPr>
                <w:bCs/>
                <w:sz w:val="18"/>
                <w:szCs w:val="18"/>
              </w:rPr>
              <w:fldChar w:fldCharType="end"/>
            </w:r>
            <w:r w:rsidR="004F2E3D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2"/>
      <w:tr w:rsidR="006524F1" w14:paraId="35BA0172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40640E72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4F2E3D">
              <w:rPr>
                <w:bCs/>
                <w:sz w:val="18"/>
                <w:szCs w:val="18"/>
              </w:rPr>
              <w:t>MESKEN</w:t>
            </w:r>
          </w:p>
        </w:tc>
      </w:tr>
      <w:tr w:rsidR="00DD7474" w14:paraId="3D217026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BB116C0" w14:textId="6249A476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HAVA DURUMU VE SICAKLIĞI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3C2A42E" w14:textId="77777777" w:rsidR="00DD7474" w:rsidRDefault="00DD7474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7474" w14:paraId="2BB6387A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AB52BA" w14:textId="0B2FFB61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ZEMİN NEM DURUMU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917806" w14:textId="77777777" w:rsidR="00DD7474" w:rsidRDefault="00DD7474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152722" w14:paraId="0DEEFAA7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55EDFDEA" w:rsidR="00152722" w:rsidRDefault="00152722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3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.2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7F0145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1289D3" w14:textId="7E0F6344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TESİSATTA KAPSAMLI DEĞİŞİKLİK VAR MI?</w:t>
            </w:r>
            <w:r w:rsidR="00815DA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(&gt;</w:t>
            </w:r>
            <w:proofErr w:type="gramStart"/>
            <w:r>
              <w:rPr>
                <w:bCs/>
                <w:sz w:val="18"/>
                <w:szCs w:val="18"/>
              </w:rPr>
              <w:t>%20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4AA51C4C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C6CB31D" w14:textId="239B21ED" w:rsidR="00DD7474" w:rsidRDefault="00815DA8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BİR ÖNCEKİ PERİYOT KONTROL ETİKETİ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1202E84" w14:textId="0CEA888A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7D8AB705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CA57098" w14:textId="2AF16403" w:rsidR="00DD7474" w:rsidRDefault="00DD7474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PANO/EKİPMAN TANIMLAMASI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77777777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B3589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4" w:name="_Hlk116386649"/>
            <w:bookmarkEnd w:id="3"/>
          </w:p>
        </w:tc>
      </w:tr>
      <w:bookmarkEnd w:id="4"/>
    </w:tbl>
    <w:p w14:paraId="1B4DFA80" w14:textId="425E45DF" w:rsidR="006524F1" w:rsidRDefault="006524F1">
      <w:pPr>
        <w:pStyle w:val="AralkYok"/>
        <w:rPr>
          <w:color w:val="000000" w:themeColor="text1"/>
          <w:sz w:val="10"/>
        </w:rPr>
      </w:pPr>
    </w:p>
    <w:p w14:paraId="19D44DD0" w14:textId="2ADD4627" w:rsidR="00F93E35" w:rsidRDefault="00F93E35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415"/>
        <w:gridCol w:w="3120"/>
        <w:gridCol w:w="569"/>
        <w:gridCol w:w="565"/>
        <w:gridCol w:w="569"/>
        <w:gridCol w:w="569"/>
        <w:gridCol w:w="567"/>
        <w:gridCol w:w="569"/>
        <w:gridCol w:w="569"/>
        <w:gridCol w:w="709"/>
        <w:gridCol w:w="565"/>
        <w:gridCol w:w="569"/>
        <w:gridCol w:w="569"/>
        <w:gridCol w:w="558"/>
      </w:tblGrid>
      <w:tr w:rsidR="008158F7" w:rsidRPr="003B31BB" w14:paraId="3DDC2CA2" w14:textId="77777777" w:rsidTr="00B3589A">
        <w:trPr>
          <w:trHeight w:val="253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F5C7E" w14:textId="6195E251" w:rsidR="008158F7" w:rsidRPr="00AB5563" w:rsidRDefault="00E420D7" w:rsidP="003B31B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2697320"/>
            <w:r w:rsidRPr="00AB55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E420D7" w:rsidRPr="003B31BB" w14:paraId="410A8449" w14:textId="77777777" w:rsidTr="00B3589A">
        <w:trPr>
          <w:trHeight w:val="253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A3E08" w14:textId="07073CBB" w:rsidR="00E420D7" w:rsidRPr="004313DD" w:rsidRDefault="00E420D7" w:rsidP="003B31B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13DD">
              <w:rPr>
                <w:rFonts w:cstheme="minorHAnsi"/>
                <w:b/>
                <w:bCs/>
                <w:sz w:val="20"/>
                <w:szCs w:val="20"/>
              </w:rPr>
              <w:t>ÖLÇÜM VE KARŞILAŞTIRMA TABLOSU</w:t>
            </w:r>
          </w:p>
        </w:tc>
      </w:tr>
      <w:bookmarkEnd w:id="5"/>
      <w:tr w:rsidR="00CB6EA9" w:rsidRPr="003B31BB" w14:paraId="1D17FF31" w14:textId="77777777" w:rsidTr="00D24A53">
        <w:trPr>
          <w:trHeight w:val="306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B0B" w14:textId="77777777" w:rsidR="005E6185" w:rsidRPr="003B31BB" w:rsidRDefault="005E6185" w:rsidP="003B31BB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297" w14:textId="77777777" w:rsidR="005E6185" w:rsidRPr="003B31BB" w:rsidRDefault="005E6185" w:rsidP="003B31BB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46D1" w14:textId="3A050FFD" w:rsidR="005E6185" w:rsidRPr="003B31BB" w:rsidRDefault="005E6185" w:rsidP="003B31BB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740" w14:textId="77777777" w:rsidR="005E6185" w:rsidRPr="003B31BB" w:rsidRDefault="005E6185" w:rsidP="003B31BB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AD3" w14:textId="13FEF5F1" w:rsidR="005E6185" w:rsidRPr="003B31BB" w:rsidRDefault="005E6185" w:rsidP="003B31BB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Koruma Elemanı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FF5" w14:textId="3379887B" w:rsidR="005E6185" w:rsidRPr="003B31BB" w:rsidRDefault="005E6185" w:rsidP="003B31BB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Kaçak Akım Rölesi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"/>
            <w:vAlign w:val="center"/>
          </w:tcPr>
          <w:p w14:paraId="2A2D0B52" w14:textId="2F88B058" w:rsidR="005E6185" w:rsidRPr="003B31BB" w:rsidRDefault="005E6185" w:rsidP="008158F7">
            <w:pPr>
              <w:widowControl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64D2F" w:rsidRPr="003B31BB" w14:paraId="4A34282C" w14:textId="77777777" w:rsidTr="00D24A53">
        <w:trPr>
          <w:cantSplit/>
          <w:trHeight w:val="1845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CA5A955" w14:textId="5036F5C7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SIRA NO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49051D" w14:textId="1E3AD6F3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ETİKET 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400" w14:textId="7D92F83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ÖLÇÜLEN NOKTA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16680D6" w14:textId="3D182B48" w:rsidR="008158F7" w:rsidRPr="003B31BB" w:rsidRDefault="008158F7" w:rsidP="00064D2F">
            <w:pPr>
              <w:spacing w:before="0" w:after="0"/>
              <w:ind w:left="113" w:right="113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Koruma İletken mm2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4696D9B" w14:textId="753E6A08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9EA14F" w14:textId="03C153E8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Açma Eğri Tipi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F9F30E8" w14:textId="77777777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Ia</w:t>
            </w:r>
            <w:proofErr w:type="spellEnd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A4A4E5" w14:textId="6B4F741B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Hesaplanan Toprak Kısa Devre Akımı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2432FD" w14:textId="0ED4F416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RCD Tipi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CC4CD62" w14:textId="4B1FE8EC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RCD </w:t>
            </w:r>
            <w:r w:rsidR="005E6185">
              <w:rPr>
                <w:rFonts w:cstheme="minorHAnsi"/>
                <w:b/>
                <w:color w:val="000000" w:themeColor="text1"/>
                <w:sz w:val="20"/>
                <w:szCs w:val="20"/>
              </w:rPr>
              <w:t>Nominal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F3CA907" w14:textId="6BD745BE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Açma Akımı (</w:t>
            </w:r>
            <w:proofErr w:type="spellStart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mA</w:t>
            </w:r>
            <w:proofErr w:type="spellEnd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07E84A" w14:textId="365252BB" w:rsidR="008158F7" w:rsidRPr="003B31BB" w:rsidRDefault="008158F7" w:rsidP="008158F7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Açma zamanı (</w:t>
            </w:r>
            <w:proofErr w:type="spellStart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3B31BB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B6747DB" w14:textId="0D44586E" w:rsidR="008158F7" w:rsidRPr="003B31BB" w:rsidRDefault="005E6185" w:rsidP="00CB6EA9">
            <w:pPr>
              <w:widowControl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Ölçülen Değer </w:t>
            </w:r>
            <w:r w:rsidRPr="003B31B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(Ω)</w:t>
            </w:r>
            <w:r w:rsidR="0077014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7014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Zx</w:t>
            </w:r>
            <w:proofErr w:type="spellEnd"/>
            <w:r w:rsidR="0077014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7014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1931B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483540" w14:textId="2FB86926" w:rsidR="005E6185" w:rsidRDefault="005E6185" w:rsidP="005E6185">
            <w:pPr>
              <w:widowControl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B31B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ınır Değer</w:t>
            </w:r>
            <w:r w:rsidRPr="003B31B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(Ω)</w:t>
            </w:r>
            <w:r w:rsidR="00B628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931B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ZS</w:t>
            </w:r>
            <w:r w:rsidR="00B628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628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Rs</w:t>
            </w:r>
            <w:proofErr w:type="spellEnd"/>
          </w:p>
          <w:p w14:paraId="243C88C2" w14:textId="28824BBD" w:rsidR="008158F7" w:rsidRPr="003B31BB" w:rsidRDefault="008158F7" w:rsidP="005E6185">
            <w:pPr>
              <w:widowControl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"/>
            <w:vAlign w:val="center"/>
          </w:tcPr>
          <w:p w14:paraId="4157390B" w14:textId="1BB25AE8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Uygunluk Notu</w:t>
            </w:r>
          </w:p>
        </w:tc>
      </w:tr>
      <w:tr w:rsidR="00064D2F" w:rsidRPr="003B31BB" w14:paraId="5457184A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8B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F05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329" w14:textId="0F691105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MAKİNA DAĞITIM ANA PANOSU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02F6" w14:textId="19BDCEC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16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73C1" w14:textId="1CF1915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100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B8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TMŞ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0C5" w14:textId="043C2CF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1000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7A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09B" w14:textId="0DE173B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862" w14:textId="656C6962" w:rsidR="008158F7" w:rsidRPr="003B31BB" w:rsidRDefault="00CB6EA9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9A8" w14:textId="3C9B6A4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BC9" w14:textId="1C361A7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BF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06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3EC24" w14:textId="3FEE8A35" w:rsidR="008158F7" w:rsidRPr="003B31BB" w:rsidRDefault="00CB6EA9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NOT-1</w:t>
            </w:r>
          </w:p>
        </w:tc>
      </w:tr>
      <w:tr w:rsidR="00064D2F" w:rsidRPr="003B31BB" w14:paraId="15979DE3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85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E9F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386" w14:textId="7FBB556B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DEPO MONTAJ ANA DAĞITIM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9AC" w14:textId="3384999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E3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7E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TMŞ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5E5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1E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D148" w14:textId="64BB7D89" w:rsidR="008158F7" w:rsidRPr="003B31BB" w:rsidRDefault="00CB6EA9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TRD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EC0" w14:textId="6E7C90D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FB0A" w14:textId="314A1BE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C30" w14:textId="5BC7EC3E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F5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28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C0ACF" w14:textId="1DF0223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6EB5BF95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C8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BA8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7FA1" w14:textId="50C8EC8C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MAKİNA BÖLÜMÜ TALİ DAĞITIM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F02" w14:textId="0104E8A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52B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5E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7F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10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78F" w14:textId="5E0D73C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110" w14:textId="3BCD1A0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9FF8" w14:textId="031D90D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CE1" w14:textId="7CB1736A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B2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0,</w:t>
            </w: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055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D3CE4" w14:textId="205CA07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745FF05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F4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CF1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5337" w14:textId="4727884E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1.KAT TALİ MONTAJ DAĞITIM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874" w14:textId="345E54B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7AF5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C10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47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A2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3C6" w14:textId="7309934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E5E" w14:textId="466BCED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4DC" w14:textId="204B323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DB3" w14:textId="72F6CDA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81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0,73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737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A86E6" w14:textId="1C85004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218683A8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380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91B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92B9" w14:textId="257FFCDE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DEPO MONTAJ KOMBİNE PRİZ MG 1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F8F" w14:textId="21E4C89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3E4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2F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485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5C5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B13" w14:textId="2512A4B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DF4" w14:textId="30E9E6B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885" w14:textId="3E2BACE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22,7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29E" w14:textId="60AB51D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19,4</w:t>
            </w:r>
            <w:r w:rsidR="00CB6EA9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D3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55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95DF6" w14:textId="3569423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79E0BD3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CF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B62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E74" w14:textId="43426D16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DF6" w14:textId="60F06BE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01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78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85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92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F9F" w14:textId="3923EB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731" w14:textId="1844DC9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5FE" w14:textId="6CBF1CE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A3C" w14:textId="57C2A38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E5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03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4AEAE" w14:textId="221F2E2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00271F11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37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C25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0FA" w14:textId="01A48901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3FE" w14:textId="0269A9E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AE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F1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48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63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1433" w14:textId="5FE00B63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27A" w14:textId="24CE513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248" w14:textId="7AC5A15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605" w14:textId="1A3DB1A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D2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30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FAFC6" w14:textId="213B2C2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4A1D1452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45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61F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F5E" w14:textId="50FAF46F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MG 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EF2" w14:textId="2AA888B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C9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586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79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5C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1C78" w14:textId="755879B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806" w14:textId="1A0F4B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834" w14:textId="0ACA659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E8B" w14:textId="602540B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57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6F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106C2" w14:textId="761A53D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4B0A8797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17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218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C38" w14:textId="3D4342B0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6F5" w14:textId="1E91C75A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44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E58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DA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06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519" w14:textId="1EB399B3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9BD" w14:textId="57C5E78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85B1" w14:textId="11A7F82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790" w14:textId="4B45D67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33,2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B8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CAB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F2426" w14:textId="6B0E9633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1FBF0804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82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0ED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F86" w14:textId="47C2C97C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0BC" w14:textId="59997D4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9F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7C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DC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9B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C9F" w14:textId="3379F17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E18" w14:textId="5E4F2E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2BA3" w14:textId="73E7764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BA2" w14:textId="3355AC9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98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E5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CE021" w14:textId="29A5068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048E29E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38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A15" w14:textId="710E4C76" w:rsidR="008158F7" w:rsidRPr="00CB6EA9" w:rsidRDefault="00CB6EA9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CB6EA9">
              <w:rPr>
                <w:rFonts w:cstheme="minorHAns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297" w14:textId="3F36C6A2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OR 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F5E5" w14:textId="7067950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04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4E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65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BD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7ED" w14:textId="32B7D59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B4B" w14:textId="1EAD7CA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4F0" w14:textId="11B2B0D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EE4" w14:textId="7EF8FACE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33,7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C8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C3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14ECD" w14:textId="3AF9624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9A373BE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08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23B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3FF" w14:textId="48485A51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5D3" w14:textId="50CD535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7D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41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FC8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A4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6D2F" w14:textId="0801628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902" w14:textId="0092F53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1EA" w14:textId="0F379AA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FC2" w14:textId="05BC17A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36,4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41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0,91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89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0388CB" w14:textId="0C3D39A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33E3C69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90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44B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90F" w14:textId="78056BE0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B4C" w14:textId="7003C93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3B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B5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1F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A4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0A6" w14:textId="4FB6F67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B1" w14:textId="20D733A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D40" w14:textId="6334AB0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58B" w14:textId="212735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0D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55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B9B36" w14:textId="23DA9EE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7B166300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12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E2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3A5" w14:textId="73FC44B8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DEPO MONTAJ KOMBİNE PRİZ PT 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FB02" w14:textId="5C4AFFD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32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DA4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B8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C4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F86" w14:textId="1312E0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FD4" w14:textId="7AE639C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D3C" w14:textId="7691BB0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470" w14:textId="2E67A1C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702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5B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61F2B" w14:textId="150EE3D4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22864373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18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363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D16" w14:textId="658C4043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>CNC 1 MAKİNA GÖVDE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E0A" w14:textId="44450803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F8C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AE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6E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4D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581" w14:textId="2DE47BF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A33" w14:textId="6D42988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005" w14:textId="4FC1D29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A67" w14:textId="4F29894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F4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0,93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95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1CF31" w14:textId="774702A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323C863C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E0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EBA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43A" w14:textId="1F77FCAA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CNC 2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733" w14:textId="27512412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DB3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C6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B61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A9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571" w14:textId="02107DCE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5A9" w14:textId="2EE1B15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E19" w14:textId="59B7CD6E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446A" w14:textId="53A1754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33,2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66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1,12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66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57815" w14:textId="7A3E655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7A6813FE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60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6C4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F3D" w14:textId="4800D921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OTOMAT 1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24F" w14:textId="6EE19D3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0C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29E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F7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2C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5F0" w14:textId="7FB73F0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164" w14:textId="235CD85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E4B" w14:textId="7B50DD1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4ED" w14:textId="1C18A83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BA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0B9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6E3A6" w14:textId="46C280F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7372A214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C6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754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C88" w14:textId="4879F91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OTOMAT 2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A51" w14:textId="6059C05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84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45D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025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D7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056" w14:textId="147DFA9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55D" w14:textId="3BE3EF2C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9DE" w14:textId="683F677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D9F" w14:textId="226C19A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33,7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8A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020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118D6" w14:textId="2EDA4CC9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140F8CEC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F6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F84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832" w14:textId="0A55C159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ROVELVER 1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133" w14:textId="6E34B6A0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CEE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7F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13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833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763" w14:textId="4DC3C30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839" w14:textId="325B50F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975" w14:textId="6370460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9294" w14:textId="29B2CDD6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36,2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9BB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1,05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F5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6FF5E" w14:textId="07C098A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1463079A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00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58F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D60" w14:textId="16E72C95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ROVELVER 2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621E" w14:textId="774EFCFA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55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A9CF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2671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CFD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864" w14:textId="1AC7A4C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7EA" w14:textId="743DCF5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A72" w14:textId="653B2433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22,7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9FB4" w14:textId="5301E89E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21C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1,17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E38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855037" w14:textId="02AE2701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64D2F" w:rsidRPr="003B31BB" w14:paraId="7B815E21" w14:textId="77777777" w:rsidTr="00D24A53">
        <w:trPr>
          <w:trHeight w:val="253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C9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514" w14:textId="77777777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DC6" w14:textId="3DA5FAEA" w:rsidR="008158F7" w:rsidRPr="003B31BB" w:rsidRDefault="008158F7" w:rsidP="008158F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8"/>
                <w:szCs w:val="18"/>
              </w:rPr>
            </w:pPr>
            <w:r w:rsidRPr="003B31BB">
              <w:rPr>
                <w:rFonts w:cstheme="minorHAnsi"/>
                <w:sz w:val="18"/>
                <w:szCs w:val="18"/>
              </w:rPr>
              <w:t xml:space="preserve">PRES 1 MAKİNA GÖVDE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B83" w14:textId="2C4BEF8B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E7A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8A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957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272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AB3" w14:textId="717E6DA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26E" w14:textId="02495FD5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3C3" w14:textId="28E8B86F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24,3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1CA" w14:textId="0F74311D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554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446" w14:textId="77777777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B31BB">
              <w:rPr>
                <w:rFonts w:cstheme="minorHAnsi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81CB0" w14:textId="6E1AF208" w:rsidR="008158F7" w:rsidRPr="003B31BB" w:rsidRDefault="008158F7" w:rsidP="008158F7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240E7" w14:paraId="257CF3E5" w14:textId="77777777" w:rsidTr="00B3589A">
        <w:trPr>
          <w:trHeight w:val="36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FDAA59" w14:textId="1A65A061" w:rsidR="000240E7" w:rsidRPr="00AB5563" w:rsidRDefault="009F2A39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6"/>
      <w:tr w:rsidR="00E420D7" w14:paraId="61AEBB97" w14:textId="77777777" w:rsidTr="00D24A53">
        <w:trPr>
          <w:trHeight w:val="284"/>
        </w:trPr>
        <w:tc>
          <w:tcPr>
            <w:tcW w:w="2302" w:type="pct"/>
            <w:gridSpan w:val="5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063699E" w14:textId="77777777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8" w:type="pct"/>
            <w:gridSpan w:val="10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0D7CBB5" w14:textId="32EAEA73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 w:rsidR="001647E3"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647E3">
              <w:rPr>
                <w:bCs/>
                <w:sz w:val="18"/>
                <w:szCs w:val="18"/>
              </w:rPr>
              <w:t xml:space="preserve">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E420D7" w14:paraId="08021EAF" w14:textId="77777777" w:rsidTr="00D24A53">
        <w:trPr>
          <w:trHeight w:val="284"/>
        </w:trPr>
        <w:tc>
          <w:tcPr>
            <w:tcW w:w="2302" w:type="pct"/>
            <w:gridSpan w:val="5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75F6BB9" w14:textId="22E103CF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</w:t>
            </w:r>
            <w:r w:rsidR="009F2A39">
              <w:rPr>
                <w:bCs/>
                <w:sz w:val="18"/>
                <w:szCs w:val="18"/>
              </w:rPr>
              <w:t xml:space="preserve"> / SERİ NO / KALİBRASYON FİRMASI</w:t>
            </w:r>
          </w:p>
        </w:tc>
        <w:tc>
          <w:tcPr>
            <w:tcW w:w="2698" w:type="pct"/>
            <w:gridSpan w:val="10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2B43FD7" w14:textId="470A6277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E420D7" w14:paraId="3E1FAB20" w14:textId="77777777" w:rsidTr="00D24A53">
        <w:trPr>
          <w:trHeight w:val="70"/>
        </w:trPr>
        <w:tc>
          <w:tcPr>
            <w:tcW w:w="5000" w:type="pct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62393" w14:textId="77777777" w:rsidR="00E420D7" w:rsidRDefault="00E420D7" w:rsidP="0072620A">
            <w:pPr>
              <w:pStyle w:val="AralkYok"/>
              <w:rPr>
                <w:bCs/>
                <w:sz w:val="18"/>
                <w:szCs w:val="18"/>
              </w:rPr>
            </w:pPr>
            <w:bookmarkStart w:id="7" w:name="_Hlk119763044"/>
          </w:p>
        </w:tc>
      </w:tr>
      <w:tr w:rsidR="00FA104B" w:rsidRPr="00AB5563" w14:paraId="699BF9C7" w14:textId="77777777" w:rsidTr="00B3589A">
        <w:trPr>
          <w:trHeight w:val="36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E64BC63" w14:textId="0512FC32" w:rsidR="00FA104B" w:rsidRPr="00AB5563" w:rsidRDefault="00FA104B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8" w:name="_Hlk116388297"/>
            <w:bookmarkEnd w:id="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8"/>
      <w:tr w:rsidR="00FA104B" w14:paraId="393A0DDE" w14:textId="77777777" w:rsidTr="00B3589A">
        <w:trPr>
          <w:trHeight w:val="187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1F39C" w14:textId="36F76E50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İş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Ekipmanlarının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Kullanımında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Sağlık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Güvenlik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Şartları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</w:p>
          <w:p w14:paraId="05DB87F5" w14:textId="05B36E0D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*21/8/2001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Tarihli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Ve 24500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Sayılı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Resmî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Gazete’de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Yayımlanan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Tesislerinde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Topraklamalar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51FB8524" w14:textId="4F91A81D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*30/11/2000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Tarihli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Ve 24246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Sayılı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Resmî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Gazete‘</w:t>
            </w:r>
            <w:proofErr w:type="gram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Yayımlanan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Kuvvetli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Akım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</w:p>
          <w:p w14:paraId="392F8654" w14:textId="21EB2DA3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*4/11/1984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Tarihli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Ve 18565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Sayılı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Resmî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Gazete’de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Yayımlanan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İç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</w:p>
          <w:p w14:paraId="6F410C98" w14:textId="3C94C310" w:rsid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TS EN IEC 60079-0</w:t>
            </w: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Patlayıcı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ortamlar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Bölüm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0: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Donanım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Genel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kurallar</w:t>
            </w:r>
            <w:proofErr w:type="spellEnd"/>
          </w:p>
          <w:p w14:paraId="320C13E1" w14:textId="6D5098FD" w:rsidR="0024651A" w:rsidRPr="00FA104B" w:rsidRDefault="0024651A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Pr="0024651A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TS EN IEC 61439</w:t>
            </w:r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alçak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anahtarlama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düzeni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kontrol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düzeni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panoları</w:t>
            </w:r>
            <w:proofErr w:type="spellEnd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51A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standartları</w:t>
            </w:r>
            <w:proofErr w:type="spellEnd"/>
          </w:p>
          <w:p w14:paraId="2D8D1962" w14:textId="77777777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TS HD 60364-4-41</w:t>
            </w: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Alçak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bölüm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4 - 41: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Güvenlik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çarpmasına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karşı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</w:p>
          <w:p w14:paraId="19138950" w14:textId="77777777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TS HD 60364-5-534</w:t>
            </w: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Alçak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Bölüm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5 - 53: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Elektriksel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teçhizatın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seçilmesi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montajı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Ayırma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anahtarlama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kontrol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*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Kısım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534:Aşırı</w:t>
            </w:r>
            <w:proofErr w:type="gram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gerilimlere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karşı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düzenleri</w:t>
            </w:r>
            <w:proofErr w:type="spellEnd"/>
          </w:p>
          <w:p w14:paraId="1D878B32" w14:textId="77777777" w:rsidR="00FA104B" w:rsidRPr="00FA104B" w:rsidRDefault="00FA104B" w:rsidP="004935DF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*TS HD 60364-6</w:t>
            </w: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Alçak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Bölüm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6: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Doğrulama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CBE3D14" w14:textId="0E83ADD1" w:rsidR="00944CE1" w:rsidRDefault="00FA104B" w:rsidP="00944CE1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Standartlarında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belirtilen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hususlara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göre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yılda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bir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defa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ölçümleri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yapılmalıdır</w:t>
            </w:r>
            <w:proofErr w:type="spellEnd"/>
            <w:r w:rsidRPr="00FA104B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</w:tbl>
    <w:p w14:paraId="7E2E12F2" w14:textId="17427512" w:rsidR="00CA0213" w:rsidRDefault="00CA0213">
      <w:pPr>
        <w:pStyle w:val="AralkYok"/>
        <w:ind w:left="114"/>
        <w:rPr>
          <w:i/>
          <w:sz w:val="6"/>
          <w:szCs w:val="6"/>
        </w:rPr>
      </w:pPr>
    </w:p>
    <w:p w14:paraId="6B91F7F2" w14:textId="59E1F8E5" w:rsidR="00944CE1" w:rsidRDefault="00944CE1">
      <w:pPr>
        <w:pStyle w:val="AralkYok"/>
        <w:ind w:left="114"/>
        <w:rPr>
          <w:i/>
          <w:sz w:val="6"/>
          <w:szCs w:val="6"/>
        </w:rPr>
      </w:pPr>
    </w:p>
    <w:p w14:paraId="4D165E4E" w14:textId="77777777" w:rsidR="00944CE1" w:rsidRDefault="00944CE1">
      <w:pPr>
        <w:pStyle w:val="AralkYok"/>
        <w:ind w:left="114"/>
        <w:rPr>
          <w:i/>
          <w:sz w:val="6"/>
          <w:szCs w:val="6"/>
        </w:rPr>
      </w:pPr>
    </w:p>
    <w:p w14:paraId="0A810357" w14:textId="77777777" w:rsidR="00B741FE" w:rsidRDefault="00B741FE">
      <w:pPr>
        <w:pStyle w:val="AralkYok"/>
        <w:ind w:left="114"/>
        <w:rPr>
          <w:i/>
          <w:sz w:val="6"/>
          <w:szCs w:val="6"/>
        </w:rPr>
      </w:pPr>
    </w:p>
    <w:p w14:paraId="463C2BFC" w14:textId="35B5273B" w:rsidR="0077014C" w:rsidRDefault="0077014C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3174"/>
        <w:gridCol w:w="1390"/>
        <w:gridCol w:w="3969"/>
      </w:tblGrid>
      <w:tr w:rsidR="00944CE1" w:rsidRPr="00152722" w14:paraId="71CD70AA" w14:textId="77777777" w:rsidTr="001C47EC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27B812" w14:textId="77777777" w:rsidR="00944CE1" w:rsidRPr="00152722" w:rsidRDefault="00944CE1" w:rsidP="001C47EC">
            <w:pPr>
              <w:pStyle w:val="AralkYok"/>
              <w:jc w:val="center"/>
              <w:rPr>
                <w:b/>
                <w:bCs/>
                <w:sz w:val="20"/>
                <w:szCs w:val="20"/>
              </w:rPr>
            </w:pPr>
            <w:r w:rsidRPr="00AB5563">
              <w:rPr>
                <w:b/>
                <w:bCs/>
                <w:sz w:val="20"/>
                <w:szCs w:val="20"/>
              </w:rPr>
              <w:lastRenderedPageBreak/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tr w:rsidR="00944CE1" w14:paraId="662AE93B" w14:textId="77777777" w:rsidTr="001C47EC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D73CE" w14:textId="48CC9157" w:rsidR="00944CE1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52722">
              <w:rPr>
                <w:b/>
                <w:bCs/>
                <w:sz w:val="20"/>
                <w:szCs w:val="20"/>
              </w:rPr>
              <w:t>SINIR DEĞER KIYASLAMA DEĞERLERİ</w:t>
            </w:r>
          </w:p>
          <w:p w14:paraId="3F8905C2" w14:textId="39DF3913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TT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Sistemi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Sınır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Değerleri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(ETTY.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Çizelge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12 alt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notuna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göre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hazırlanmıştır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.)</w:t>
            </w:r>
          </w:p>
          <w:p w14:paraId="06AEBDFE" w14:textId="77777777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topraklaması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tavsiye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sınır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değer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1,00 Ω (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Tesislerinde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Topraklamalar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-Madde 10)</w:t>
            </w:r>
          </w:p>
          <w:p w14:paraId="78BB7CEE" w14:textId="77777777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İşletme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Topraklaması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tavsiye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sınır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değeri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2,00 Ω (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Elektrik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Tesislerinde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Topraklamalar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Yönetmeliği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-Madde 10)</w:t>
            </w:r>
          </w:p>
          <w:p w14:paraId="4BB4B77D" w14:textId="77777777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In: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elemanının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anma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akımı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0975C6E5" w14:textId="0C14D4A4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Koruma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elemanının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açma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akımı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(B: 5 In , C: 10 In , D: 15 In )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Rx: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Ölçülen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yayılım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direnci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0E2376B2" w14:textId="016B9C75" w:rsidR="00944CE1" w:rsidRPr="0015272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Ra: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Hesaplanan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sınır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direnci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(TT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şebeke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Ra=50 V/</w:t>
            </w:r>
            <w:proofErr w:type="spellStart"/>
            <w:proofErr w:type="gram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Islak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ortam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Ra=25 V/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) </w:t>
            </w:r>
          </w:p>
          <w:p w14:paraId="20393C8E" w14:textId="63DEADC5" w:rsidR="00944CE1" w:rsidRDefault="00944CE1" w:rsidP="00944CE1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Zx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Ölçülen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Çevrim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empedansı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Zs: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Hesaplanan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sınır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çevrim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empedansı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(TN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şebeke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Zs=230 V/</w:t>
            </w:r>
            <w:proofErr w:type="spellStart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Ia</w:t>
            </w:r>
            <w:proofErr w:type="spellEnd"/>
            <w:r w:rsidRPr="0015272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4ED4E046" w14:textId="77777777" w:rsidR="00944CE1" w:rsidRDefault="00944CE1" w:rsidP="001C47EC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UYGUNLUK NOTU</w:t>
            </w:r>
          </w:p>
          <w:p w14:paraId="57ACC6F7" w14:textId="76DF9EBC" w:rsidR="00944CE1" w:rsidRPr="0061227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152722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1: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Uygun</w:t>
            </w:r>
          </w:p>
          <w:p w14:paraId="1A59D8AF" w14:textId="109D18A0" w:rsidR="00944CE1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152722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152722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2: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Eşpotansiyel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baraya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irtibat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sağlanmış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ancak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yetersiz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03DA7B15" w14:textId="1CEB2780" w:rsidR="00944CE1" w:rsidRPr="0061227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3: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Topraklama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bağlantısı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yok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kontrol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edilmelidir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FB08F5F" w14:textId="25CDA8DF" w:rsidR="00944CE1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4: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Sıfırlama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yapılmıştır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637918EF" w14:textId="25A7F526" w:rsidR="00944CE1" w:rsidRPr="0061227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5: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Pano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kapağı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topraksız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BE788B" w14:textId="202D983D" w:rsidR="00944CE1" w:rsidRPr="0061227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6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Artık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akım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anahtarı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kullanıldığı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uygundur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1233FAB" w14:textId="571DD5E0" w:rsidR="00944CE1" w:rsidRPr="00612272" w:rsidRDefault="00944CE1" w:rsidP="001C47EC">
            <w:pPr>
              <w:pStyle w:val="AralkYok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7:</w:t>
            </w:r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32 A’ e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kadar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genel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kullanım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prizlerinde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30 mA RCD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olmadığından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yetersiz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237421" w14:textId="5567F117" w:rsidR="00944CE1" w:rsidRDefault="00944CE1" w:rsidP="00944CE1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OT</w:t>
            </w:r>
            <w:r w:rsidRPr="00B7116F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8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Nötr-toprak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gerilimi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nedeniyle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ölçüm</w:t>
            </w:r>
            <w:proofErr w:type="spellEnd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272"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yapılamadı</w:t>
            </w:r>
            <w:proofErr w:type="spellEnd"/>
          </w:p>
        </w:tc>
      </w:tr>
      <w:tr w:rsidR="00EE2E4A" w14:paraId="4321A1BF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F94D92" w14:textId="67BFD9D8" w:rsidR="00EE2E4A" w:rsidRPr="00AB5563" w:rsidRDefault="00B7116F" w:rsidP="008D5CA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9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EE2E4A" w14:paraId="05D8140C" w14:textId="77777777" w:rsidTr="00944CE1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1E2D7" w14:textId="46152E93" w:rsidR="005C4CF9" w:rsidRDefault="005C4CF9" w:rsidP="008F426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10" w:name="_Hlk116387460"/>
          </w:p>
        </w:tc>
      </w:tr>
      <w:bookmarkEnd w:id="9"/>
      <w:bookmarkEnd w:id="10"/>
      <w:tr w:rsidR="00B7116F" w14:paraId="27EA75BB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68F70E2" w14:textId="4B771530" w:rsidR="00B7116F" w:rsidRPr="00AB5563" w:rsidRDefault="00B7116F" w:rsidP="0072620A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7116F" w14:paraId="400831FB" w14:textId="77777777" w:rsidTr="00B3589A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3DDDA" w14:textId="77777777" w:rsidR="0024651A" w:rsidRPr="00322C5D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Elektrik tesisatı ve topraklama tesisatında zaman içerisinde çürüme olmaktadır. Dolayısıyla topraklama direnci de değişmektedir. Ayrıca işletme içerisindeki tüm elektrik tesisatı ve sistemlerinin periyodik bakım-kontrol ve takip işleri sürekli gözden geçirilip iyileştirilmesi sağlanmalıdır. </w:t>
            </w:r>
          </w:p>
          <w:p w14:paraId="2C591B2C" w14:textId="71742672" w:rsidR="0024651A" w:rsidRPr="00322C5D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Mevcut şartlar korunmalıdır. </w:t>
            </w:r>
          </w:p>
          <w:p w14:paraId="57736000" w14:textId="7C463480" w:rsidR="00FC15B1" w:rsidRPr="00322C5D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Tesiste tadilat, yangın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>v.b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mevcut elektrik tesisatını etkileyecek herhangi bir durumda bu rapor geçersiz sayılacağından dolayı periyodik kontrollün tekrarlanması şarttır aksi durumda doğabilecek her türlü kazadan firma ve yetkili personelleri sorumludur. </w:t>
            </w:r>
          </w:p>
          <w:p w14:paraId="68B3426D" w14:textId="1C788AD9" w:rsidR="00B7116F" w:rsidRPr="00FC15B1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2C5D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</w:t>
            </w:r>
            <w:r w:rsidRPr="00FC15B1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A0213" w14:paraId="267F2213" w14:textId="77777777" w:rsidTr="00B3589A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B62C07C" w14:textId="0782F887" w:rsidR="00CA0213" w:rsidRPr="00AB5563" w:rsidRDefault="00B7116F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bookmarkStart w:id="11" w:name="_Hlk506590409"/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CA0213" w14:paraId="62EFA47A" w14:textId="77777777" w:rsidTr="00944CE1">
        <w:trPr>
          <w:trHeight w:val="9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C6FD7" w14:textId="01B6478C" w:rsidR="00322C5D" w:rsidRPr="00322C5D" w:rsidRDefault="00322C5D" w:rsidP="00322C5D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Tesisatı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uygundur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kullanımı</w:t>
            </w:r>
            <w:proofErr w:type="spellEnd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uygun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değildir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  <w:p w14:paraId="3967ECAE" w14:textId="492B4F84" w:rsidR="005C4CF9" w:rsidRDefault="00322C5D" w:rsidP="00322C5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Tespit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edilen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hafif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kusurların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bir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sonraki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tarihine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kadar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giderilmesi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gereklidir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 (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Sadece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hafif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kusur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tespit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edilmesi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durumunda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yazılacaktır</w:t>
            </w:r>
            <w:proofErr w:type="spellEnd"/>
            <w:r w:rsidRPr="00322C5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.)</w:t>
            </w:r>
          </w:p>
        </w:tc>
      </w:tr>
      <w:bookmarkEnd w:id="11"/>
      <w:tr w:rsidR="00CA0213" w14:paraId="2975947D" w14:textId="77777777" w:rsidTr="00380CF6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453D4" w14:textId="77777777" w:rsidR="00B7116F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0EBAA5C1" w14:textId="7A80C21B" w:rsidR="00CA0213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CA0213" w14:paraId="3357C8E1" w14:textId="77777777" w:rsidTr="00380CF6">
        <w:trPr>
          <w:trHeight w:val="255"/>
        </w:trPr>
        <w:tc>
          <w:tcPr>
            <w:tcW w:w="1040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7DA2A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94BEE" w14:textId="1269C540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DF06" w14:textId="641BCFD1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E2C2CB" w14:textId="21CB33A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35C6E35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21F21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0217" w14:textId="7EC0D4E7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02AC" w14:textId="1A007B3D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563EA" w14:textId="0B8962DD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3FA" w14:paraId="2BE4450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1ACA5" w14:textId="0C3C6B5A" w:rsidR="000023FA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1F71" w14:textId="46B4AC03" w:rsidR="000023FA" w:rsidRDefault="000023FA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24C" w14:textId="77777777" w:rsidR="000023FA" w:rsidRDefault="000023FA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9D0C0E" w14:textId="30A27FEB" w:rsidR="000023FA" w:rsidRDefault="000023FA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CA0213" w14:paraId="76D1A106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C90EB" w14:textId="52797B4A" w:rsidR="00CA0213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EKİPNET Kalıcı </w:t>
            </w:r>
            <w:r w:rsidR="00F04472">
              <w:rPr>
                <w:rFonts w:cstheme="minorHAnsi"/>
                <w:b/>
                <w:color w:val="000000" w:themeColor="text1"/>
                <w:sz w:val="20"/>
                <w:szCs w:val="20"/>
              </w:rPr>
              <w:t>Kayıt No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05B11" w14:textId="1C37BFF1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70E5" w14:textId="1F84A5BC" w:rsidR="00CA0213" w:rsidRDefault="00CA0213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C1D33E" w14:textId="651226B9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79507E71" w14:textId="77777777" w:rsidTr="00380CF6">
        <w:trPr>
          <w:trHeight w:val="1054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6986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C7C1" w14:textId="77777777" w:rsidR="00CA0213" w:rsidRDefault="00CA0213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AAFDC37" w14:textId="77777777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ECDA353" w14:textId="41FF809E" w:rsidR="0068262E" w:rsidRDefault="0068262E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F60299" w14:textId="55CE48D9" w:rsidR="0068262E" w:rsidRDefault="0068262E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FC62936" w14:textId="77777777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048A74B" w14:textId="3FCFBE59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C084" w14:textId="77777777" w:rsidR="00CA0213" w:rsidRDefault="00F04472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543A61" w14:textId="7777777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80CF6" w14:paraId="1EF44F55" w14:textId="77777777" w:rsidTr="00380CF6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A1BAB" w14:textId="77777777" w:rsidR="00380CF6" w:rsidRDefault="00380CF6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00FA1C6" w14:textId="2CC856C3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11112F0" w14:textId="77777777" w:rsidR="003A35C0" w:rsidRPr="00B87C6A" w:rsidRDefault="003A35C0" w:rsidP="003A35C0">
      <w:pPr>
        <w:pStyle w:val="AralkYok"/>
        <w:jc w:val="center"/>
        <w:rPr>
          <w:i/>
          <w:iCs/>
          <w:sz w:val="18"/>
          <w:szCs w:val="18"/>
        </w:rPr>
      </w:pPr>
      <w:r>
        <w:tab/>
      </w: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1CB549B7" w14:textId="10AD92DF" w:rsidR="003A35C0" w:rsidRPr="003A35C0" w:rsidRDefault="003A35C0" w:rsidP="003A35C0">
      <w:pPr>
        <w:tabs>
          <w:tab w:val="left" w:pos="3345"/>
        </w:tabs>
      </w:pPr>
    </w:p>
    <w:sectPr w:rsidR="003A35C0" w:rsidRPr="003A35C0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9F21" w14:textId="77777777" w:rsidR="009E0A91" w:rsidRDefault="009E0A91">
      <w:pPr>
        <w:spacing w:line="240" w:lineRule="auto"/>
      </w:pPr>
      <w:r>
        <w:separator/>
      </w:r>
    </w:p>
  </w:endnote>
  <w:endnote w:type="continuationSeparator" w:id="0">
    <w:p w14:paraId="3938DDD5" w14:textId="77777777" w:rsidR="009E0A91" w:rsidRDefault="009E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14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4"/>
                      <w:gridCol w:w="2269"/>
                    </w:tblGrid>
                    <w:tr w:rsidR="00CA0213" w14:paraId="0569C3D0" w14:textId="77777777" w:rsidTr="00542C33">
                      <w:trPr>
                        <w:cantSplit/>
                        <w:trHeight w:val="207"/>
                      </w:trPr>
                      <w:tc>
                        <w:tcPr>
                          <w:tcW w:w="3947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56A3DD67" w:rsidR="00B741FE" w:rsidRDefault="00B741FE" w:rsidP="00B741FE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14A7B01F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 w:rsidTr="00542C33">
                      <w:trPr>
                        <w:cantSplit/>
                        <w:trHeight w:val="322"/>
                      </w:trPr>
                      <w:tc>
                        <w:tcPr>
                          <w:tcW w:w="3947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5055A114" w14:textId="0E6724EC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687B93" w:rsidRPr="00767E15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232503C6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6FA3" w14:textId="77777777" w:rsidR="009E0A91" w:rsidRDefault="009E0A91">
      <w:pPr>
        <w:spacing w:before="0" w:after="0"/>
      </w:pPr>
      <w:r>
        <w:separator/>
      </w:r>
    </w:p>
  </w:footnote>
  <w:footnote w:type="continuationSeparator" w:id="0">
    <w:p w14:paraId="441B37CE" w14:textId="77777777" w:rsidR="009E0A91" w:rsidRDefault="009E0A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5"/>
      <w:gridCol w:w="3827"/>
    </w:tblGrid>
    <w:tr w:rsidR="00CA0213" w:rsidRPr="00AF6B70" w14:paraId="4E64A491" w14:textId="77777777" w:rsidTr="00542C33">
      <w:trPr>
        <w:trHeight w:val="553"/>
      </w:trPr>
      <w:tc>
        <w:tcPr>
          <w:tcW w:w="1117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106" w:type="pct"/>
          <w:shd w:val="clear" w:color="auto" w:fill="auto"/>
          <w:vAlign w:val="center"/>
        </w:tcPr>
        <w:p w14:paraId="53EB3F3E" w14:textId="44CA0C23" w:rsidR="00CA0213" w:rsidRPr="00AF6B70" w:rsidRDefault="008C1AA1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C1AA1">
            <w:rPr>
              <w:rFonts w:cstheme="minorHAnsi"/>
              <w:b/>
              <w:color w:val="1F497D" w:themeColor="text2"/>
              <w:sz w:val="24"/>
              <w:szCs w:val="24"/>
            </w:rPr>
            <w:t>TOPRAKLAMA TESİSATI PERİYODİK KONTROL RAPORU</w:t>
          </w:r>
        </w:p>
      </w:tc>
      <w:tc>
        <w:tcPr>
          <w:tcW w:w="1777" w:type="pct"/>
          <w:vAlign w:val="center"/>
        </w:tcPr>
        <w:p w14:paraId="02E60BF0" w14:textId="3CCCB77B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2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4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1"/>
  </w:num>
  <w:num w:numId="10" w16cid:durableId="901673473">
    <w:abstractNumId w:val="15"/>
  </w:num>
  <w:num w:numId="11" w16cid:durableId="1533952527">
    <w:abstractNumId w:val="13"/>
  </w:num>
  <w:num w:numId="12" w16cid:durableId="2088264353">
    <w:abstractNumId w:val="1"/>
  </w:num>
  <w:num w:numId="13" w16cid:durableId="236864429">
    <w:abstractNumId w:val="12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40E7"/>
    <w:rsid w:val="0002785E"/>
    <w:rsid w:val="000304DB"/>
    <w:rsid w:val="0003234F"/>
    <w:rsid w:val="00032ADD"/>
    <w:rsid w:val="000342B3"/>
    <w:rsid w:val="0003437A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20FE"/>
    <w:rsid w:val="000C5F9A"/>
    <w:rsid w:val="000C6FB0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A24"/>
    <w:rsid w:val="000F4B57"/>
    <w:rsid w:val="001020D4"/>
    <w:rsid w:val="001021A1"/>
    <w:rsid w:val="001023A0"/>
    <w:rsid w:val="00105698"/>
    <w:rsid w:val="0010683F"/>
    <w:rsid w:val="00107D0B"/>
    <w:rsid w:val="00110B28"/>
    <w:rsid w:val="00110E12"/>
    <w:rsid w:val="0011137B"/>
    <w:rsid w:val="00114BCC"/>
    <w:rsid w:val="00117100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2722"/>
    <w:rsid w:val="00154985"/>
    <w:rsid w:val="001605F6"/>
    <w:rsid w:val="00160F46"/>
    <w:rsid w:val="001618D7"/>
    <w:rsid w:val="001631F2"/>
    <w:rsid w:val="001647E3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7CB1"/>
    <w:rsid w:val="001817CB"/>
    <w:rsid w:val="00183913"/>
    <w:rsid w:val="0018534F"/>
    <w:rsid w:val="00186D21"/>
    <w:rsid w:val="00192E5B"/>
    <w:rsid w:val="001931B3"/>
    <w:rsid w:val="00193885"/>
    <w:rsid w:val="00195CF4"/>
    <w:rsid w:val="00195D37"/>
    <w:rsid w:val="001970E1"/>
    <w:rsid w:val="001A08B3"/>
    <w:rsid w:val="001A2CD2"/>
    <w:rsid w:val="001A4D38"/>
    <w:rsid w:val="001A621C"/>
    <w:rsid w:val="001A7B7C"/>
    <w:rsid w:val="001B00A0"/>
    <w:rsid w:val="001B2748"/>
    <w:rsid w:val="001B4D7A"/>
    <w:rsid w:val="001B6481"/>
    <w:rsid w:val="001B76FB"/>
    <w:rsid w:val="001C3AAC"/>
    <w:rsid w:val="001C42FA"/>
    <w:rsid w:val="001C44D5"/>
    <w:rsid w:val="001C4756"/>
    <w:rsid w:val="001D02FE"/>
    <w:rsid w:val="001D2D36"/>
    <w:rsid w:val="001D4182"/>
    <w:rsid w:val="001D5719"/>
    <w:rsid w:val="001D7617"/>
    <w:rsid w:val="001E0005"/>
    <w:rsid w:val="001E0B47"/>
    <w:rsid w:val="001E2AA3"/>
    <w:rsid w:val="001E3445"/>
    <w:rsid w:val="001E413D"/>
    <w:rsid w:val="001E4495"/>
    <w:rsid w:val="001E5D6D"/>
    <w:rsid w:val="001E615D"/>
    <w:rsid w:val="001F06C1"/>
    <w:rsid w:val="001F0CCE"/>
    <w:rsid w:val="001F1B7A"/>
    <w:rsid w:val="001F3AC4"/>
    <w:rsid w:val="001F481E"/>
    <w:rsid w:val="001F4B78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7137"/>
    <w:rsid w:val="002328F2"/>
    <w:rsid w:val="00232E1D"/>
    <w:rsid w:val="00233E4E"/>
    <w:rsid w:val="00235908"/>
    <w:rsid w:val="002360D3"/>
    <w:rsid w:val="00241986"/>
    <w:rsid w:val="0024651A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2C5D"/>
    <w:rsid w:val="00324C85"/>
    <w:rsid w:val="00330F85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0CF6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5F25"/>
    <w:rsid w:val="003966D7"/>
    <w:rsid w:val="00396D37"/>
    <w:rsid w:val="003A0B82"/>
    <w:rsid w:val="003A14CB"/>
    <w:rsid w:val="003A35C0"/>
    <w:rsid w:val="003A4450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44E2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13DD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10B3"/>
    <w:rsid w:val="0046239F"/>
    <w:rsid w:val="00465032"/>
    <w:rsid w:val="00465952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5DF"/>
    <w:rsid w:val="00493CEF"/>
    <w:rsid w:val="004940D6"/>
    <w:rsid w:val="004944AF"/>
    <w:rsid w:val="004948CF"/>
    <w:rsid w:val="00495109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3FF0"/>
    <w:rsid w:val="004C4A05"/>
    <w:rsid w:val="004C67E1"/>
    <w:rsid w:val="004C758E"/>
    <w:rsid w:val="004D4241"/>
    <w:rsid w:val="004D4EE6"/>
    <w:rsid w:val="004D58CA"/>
    <w:rsid w:val="004D698E"/>
    <w:rsid w:val="004E035E"/>
    <w:rsid w:val="004E13E1"/>
    <w:rsid w:val="004E3185"/>
    <w:rsid w:val="004E3604"/>
    <w:rsid w:val="004E4385"/>
    <w:rsid w:val="004E4557"/>
    <w:rsid w:val="004E7C31"/>
    <w:rsid w:val="004F064B"/>
    <w:rsid w:val="004F2E3D"/>
    <w:rsid w:val="004F5677"/>
    <w:rsid w:val="004F5A70"/>
    <w:rsid w:val="004F6FDE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2C33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86192"/>
    <w:rsid w:val="00594989"/>
    <w:rsid w:val="00595BB4"/>
    <w:rsid w:val="00596749"/>
    <w:rsid w:val="005A03DB"/>
    <w:rsid w:val="005A062F"/>
    <w:rsid w:val="005A14E0"/>
    <w:rsid w:val="005A5CB8"/>
    <w:rsid w:val="005A60AF"/>
    <w:rsid w:val="005A6AD6"/>
    <w:rsid w:val="005A6C20"/>
    <w:rsid w:val="005B2DC7"/>
    <w:rsid w:val="005B31C5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62E"/>
    <w:rsid w:val="0068282D"/>
    <w:rsid w:val="00683BF9"/>
    <w:rsid w:val="00684468"/>
    <w:rsid w:val="00685A9C"/>
    <w:rsid w:val="00686778"/>
    <w:rsid w:val="00687B93"/>
    <w:rsid w:val="00690ECA"/>
    <w:rsid w:val="00693742"/>
    <w:rsid w:val="00694727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6BC5"/>
    <w:rsid w:val="00711FF2"/>
    <w:rsid w:val="00712A58"/>
    <w:rsid w:val="00712EFB"/>
    <w:rsid w:val="0071491F"/>
    <w:rsid w:val="00714AB4"/>
    <w:rsid w:val="00717C26"/>
    <w:rsid w:val="00726B11"/>
    <w:rsid w:val="007273D3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790"/>
    <w:rsid w:val="0076181A"/>
    <w:rsid w:val="00761DB8"/>
    <w:rsid w:val="00763877"/>
    <w:rsid w:val="007657B3"/>
    <w:rsid w:val="00765D7D"/>
    <w:rsid w:val="007661E8"/>
    <w:rsid w:val="007664F7"/>
    <w:rsid w:val="00767E15"/>
    <w:rsid w:val="0077014C"/>
    <w:rsid w:val="00771DAB"/>
    <w:rsid w:val="00771FA9"/>
    <w:rsid w:val="007745C0"/>
    <w:rsid w:val="007762DE"/>
    <w:rsid w:val="007764DA"/>
    <w:rsid w:val="007773DD"/>
    <w:rsid w:val="00777C22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390F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7F7551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5759"/>
    <w:rsid w:val="008957D2"/>
    <w:rsid w:val="00895D48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5DC"/>
    <w:rsid w:val="008C1AA1"/>
    <w:rsid w:val="008C2863"/>
    <w:rsid w:val="008C29B6"/>
    <w:rsid w:val="008C6CFA"/>
    <w:rsid w:val="008C6F1A"/>
    <w:rsid w:val="008C7749"/>
    <w:rsid w:val="008D102D"/>
    <w:rsid w:val="008D1190"/>
    <w:rsid w:val="008D12E6"/>
    <w:rsid w:val="008D2B91"/>
    <w:rsid w:val="008D31AE"/>
    <w:rsid w:val="008E0580"/>
    <w:rsid w:val="008E0D74"/>
    <w:rsid w:val="008E56AB"/>
    <w:rsid w:val="008E64C4"/>
    <w:rsid w:val="008F0240"/>
    <w:rsid w:val="008F2159"/>
    <w:rsid w:val="008F426A"/>
    <w:rsid w:val="008F6997"/>
    <w:rsid w:val="008F7C09"/>
    <w:rsid w:val="00900831"/>
    <w:rsid w:val="00901CC9"/>
    <w:rsid w:val="009021F1"/>
    <w:rsid w:val="009022E4"/>
    <w:rsid w:val="00902BAA"/>
    <w:rsid w:val="009045FC"/>
    <w:rsid w:val="00905FD8"/>
    <w:rsid w:val="009078A4"/>
    <w:rsid w:val="00911D4F"/>
    <w:rsid w:val="00912F98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A4E"/>
    <w:rsid w:val="00941AE4"/>
    <w:rsid w:val="00941F38"/>
    <w:rsid w:val="0094251C"/>
    <w:rsid w:val="009433CD"/>
    <w:rsid w:val="009442E8"/>
    <w:rsid w:val="00944CE1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B7BED"/>
    <w:rsid w:val="009C0046"/>
    <w:rsid w:val="009C3A98"/>
    <w:rsid w:val="009C723E"/>
    <w:rsid w:val="009C7898"/>
    <w:rsid w:val="009C7B71"/>
    <w:rsid w:val="009D0924"/>
    <w:rsid w:val="009D0936"/>
    <w:rsid w:val="009D0FC2"/>
    <w:rsid w:val="009D2FD2"/>
    <w:rsid w:val="009D3ADA"/>
    <w:rsid w:val="009E0513"/>
    <w:rsid w:val="009E0A91"/>
    <w:rsid w:val="009E0CFC"/>
    <w:rsid w:val="009E33C9"/>
    <w:rsid w:val="009E34B6"/>
    <w:rsid w:val="009E3A91"/>
    <w:rsid w:val="009E41C4"/>
    <w:rsid w:val="009E51EA"/>
    <w:rsid w:val="009E59D8"/>
    <w:rsid w:val="009F2A39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040F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B5563"/>
    <w:rsid w:val="00AC059D"/>
    <w:rsid w:val="00AC0BF2"/>
    <w:rsid w:val="00AC2996"/>
    <w:rsid w:val="00AC2B8B"/>
    <w:rsid w:val="00AC2F92"/>
    <w:rsid w:val="00AC5990"/>
    <w:rsid w:val="00AD30C5"/>
    <w:rsid w:val="00AD4D26"/>
    <w:rsid w:val="00AD7A6A"/>
    <w:rsid w:val="00AD7EF4"/>
    <w:rsid w:val="00AE0970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21CCF"/>
    <w:rsid w:val="00B25D5D"/>
    <w:rsid w:val="00B26116"/>
    <w:rsid w:val="00B262DA"/>
    <w:rsid w:val="00B30814"/>
    <w:rsid w:val="00B3167A"/>
    <w:rsid w:val="00B326C6"/>
    <w:rsid w:val="00B34194"/>
    <w:rsid w:val="00B35693"/>
    <w:rsid w:val="00B3589A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16F"/>
    <w:rsid w:val="00B71BDA"/>
    <w:rsid w:val="00B72ABC"/>
    <w:rsid w:val="00B741FE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49C"/>
    <w:rsid w:val="00BC6BB7"/>
    <w:rsid w:val="00BC7400"/>
    <w:rsid w:val="00BC7A0B"/>
    <w:rsid w:val="00BD01C1"/>
    <w:rsid w:val="00BD0A55"/>
    <w:rsid w:val="00BD25FD"/>
    <w:rsid w:val="00BD33BD"/>
    <w:rsid w:val="00BE0597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61D9"/>
    <w:rsid w:val="00C06D47"/>
    <w:rsid w:val="00C10639"/>
    <w:rsid w:val="00C10F0D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B7380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5DD"/>
    <w:rsid w:val="00CF4EA6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4A53"/>
    <w:rsid w:val="00D25021"/>
    <w:rsid w:val="00D30B60"/>
    <w:rsid w:val="00D30C8A"/>
    <w:rsid w:val="00D30D97"/>
    <w:rsid w:val="00D310A5"/>
    <w:rsid w:val="00D31543"/>
    <w:rsid w:val="00D32725"/>
    <w:rsid w:val="00D42C06"/>
    <w:rsid w:val="00D46811"/>
    <w:rsid w:val="00D46D68"/>
    <w:rsid w:val="00D474B1"/>
    <w:rsid w:val="00D50512"/>
    <w:rsid w:val="00D50DEB"/>
    <w:rsid w:val="00D53DF0"/>
    <w:rsid w:val="00D6030D"/>
    <w:rsid w:val="00D63475"/>
    <w:rsid w:val="00D71044"/>
    <w:rsid w:val="00D73917"/>
    <w:rsid w:val="00D74F49"/>
    <w:rsid w:val="00D76CA3"/>
    <w:rsid w:val="00D7715A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6A8C"/>
    <w:rsid w:val="00DE77D8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EF1"/>
    <w:rsid w:val="00E11F5B"/>
    <w:rsid w:val="00E13B2A"/>
    <w:rsid w:val="00E13F6F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20D7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4353"/>
    <w:rsid w:val="00EB57DD"/>
    <w:rsid w:val="00EB6C1A"/>
    <w:rsid w:val="00EB7586"/>
    <w:rsid w:val="00EC3135"/>
    <w:rsid w:val="00EC3E44"/>
    <w:rsid w:val="00EC47D6"/>
    <w:rsid w:val="00EC514B"/>
    <w:rsid w:val="00EC6BBC"/>
    <w:rsid w:val="00EC6EC3"/>
    <w:rsid w:val="00ED14EC"/>
    <w:rsid w:val="00ED173B"/>
    <w:rsid w:val="00ED5E8D"/>
    <w:rsid w:val="00ED768F"/>
    <w:rsid w:val="00EE0897"/>
    <w:rsid w:val="00EE2E4A"/>
    <w:rsid w:val="00EE3162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60FD5"/>
    <w:rsid w:val="00F61008"/>
    <w:rsid w:val="00F62810"/>
    <w:rsid w:val="00F72337"/>
    <w:rsid w:val="00F724B9"/>
    <w:rsid w:val="00F74FFB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97F44"/>
    <w:rsid w:val="00FA104B"/>
    <w:rsid w:val="00FA15F8"/>
    <w:rsid w:val="00FA2CD4"/>
    <w:rsid w:val="00FA5B82"/>
    <w:rsid w:val="00FA62C6"/>
    <w:rsid w:val="00FA6975"/>
    <w:rsid w:val="00FB04BF"/>
    <w:rsid w:val="00FB3F30"/>
    <w:rsid w:val="00FB5DCD"/>
    <w:rsid w:val="00FC15B1"/>
    <w:rsid w:val="00FC2187"/>
    <w:rsid w:val="00FC3107"/>
    <w:rsid w:val="00FC351D"/>
    <w:rsid w:val="00FC3EEB"/>
    <w:rsid w:val="00FC58DC"/>
    <w:rsid w:val="00FC71A0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22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MUSTAFA FAZLIOĞLU</cp:lastModifiedBy>
  <cp:revision>57</cp:revision>
  <cp:lastPrinted>2022-10-11T19:01:00Z</cp:lastPrinted>
  <dcterms:created xsi:type="dcterms:W3CDTF">2022-07-01T07:45:00Z</dcterms:created>
  <dcterms:modified xsi:type="dcterms:W3CDTF">2023-09-23T09:05:00Z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